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exact"/>
        <w:jc w:val="left"/>
        <w:rPr>
          <w:rFonts w:ascii="微软雅黑" w:hAnsi="微软雅黑" w:eastAsia="微软雅黑"/>
          <w:b/>
          <w:color w:val="595959" w:themeColor="text1" w:themeTint="A6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/>
          <w:b/>
          <w:color w:val="595959" w:themeColor="text1" w:themeTint="A6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 xml:space="preserve"> </w:t>
      </w:r>
      <w:r>
        <w:rPr>
          <w:rFonts w:ascii="微软雅黑" w:hAnsi="微软雅黑" w:eastAsia="微软雅黑"/>
          <w:b/>
          <w:color w:val="595959" w:themeColor="text1" w:themeTint="A6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 xml:space="preserve">                                       </w:t>
      </w:r>
    </w:p>
    <w:p>
      <w:pPr>
        <w:spacing w:line="360" w:lineRule="exact"/>
        <w:jc w:val="left"/>
        <w:rPr>
          <w:rFonts w:ascii="微软雅黑" w:hAnsi="微软雅黑" w:eastAsia="微软雅黑"/>
          <w:b/>
          <w:color w:val="595959" w:themeColor="text1" w:themeTint="A6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/>
          <w:b/>
          <w:color w:val="595959" w:themeColor="text1" w:themeTint="A6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 xml:space="preserve">          </w:t>
      </w:r>
    </w:p>
    <w:p>
      <w:pPr>
        <w:pStyle w:val="16"/>
        <w:spacing w:line="360" w:lineRule="exact"/>
        <w:rPr>
          <w:rFonts w:ascii="微软雅黑" w:hAnsi="微软雅黑" w:eastAsia="微软雅黑"/>
          <w:bCs w:val="0"/>
          <w:color w:val="595959" w:themeColor="text1" w:themeTint="A6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/>
          <w:bCs w:val="0"/>
          <w:color w:val="595959" w:themeColor="text1" w:themeTint="A6"/>
          <w:sz w:val="52"/>
          <w:szCs w:val="52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drawing>
          <wp:anchor distT="0" distB="0" distL="0" distR="0" simplePos="0" relativeHeight="251671552" behindDoc="1" locked="0" layoutInCell="1" allowOverlap="1">
            <wp:simplePos x="0" y="0"/>
            <wp:positionH relativeFrom="column">
              <wp:posOffset>4356735</wp:posOffset>
            </wp:positionH>
            <wp:positionV relativeFrom="paragraph">
              <wp:posOffset>8213725</wp:posOffset>
            </wp:positionV>
            <wp:extent cx="1836420" cy="703580"/>
            <wp:effectExtent l="0" t="0" r="11430" b="1270"/>
            <wp:wrapNone/>
            <wp:docPr id="5" name="图片 1" descr="hontai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hontai2.pn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703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hAnsi="微软雅黑" w:eastAsia="微软雅黑"/>
          <w:bCs w:val="0"/>
          <w:color w:val="595959" w:themeColor="text1" w:themeTint="A6"/>
          <w:sz w:val="21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306705</wp:posOffset>
                </wp:positionH>
                <wp:positionV relativeFrom="paragraph">
                  <wp:posOffset>1967230</wp:posOffset>
                </wp:positionV>
                <wp:extent cx="4914900" cy="184785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49705" y="3535680"/>
                          <a:ext cx="4914900" cy="1847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70"/>
                                <w:szCs w:val="7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70"/>
                                <w:szCs w:val="70"/>
                                <w:lang w:val="en-US" w:eastAsia="zh-CN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集装箱检验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70"/>
                                <w:szCs w:val="7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管理系统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color w:val="2C9AAE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2C9AAE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深圳市泓泰技术有限公司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color w:val="2C9AAE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pacing w:val="60"/>
                              </w:rPr>
                              <w:t>2017-2018 版权所有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.15pt;margin-top:154.9pt;height:145.5pt;width:387pt;z-index:251664384;mso-width-relative:page;mso-height-relative:page;" filled="f" stroked="f" coordsize="21600,21600" o:gfxdata="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utwvetoAAAAKAQAADwAAAAAAAAABACAAAAAiAAAAZHJzL2Rvd25yZXYueG1sUEsBAhQA&#10;FAAAAAgAh07iQCbyazEpAgAAJQQAAA4AAAAAAAAAAQAgAAAAKQ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70"/>
                          <w:szCs w:val="7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70"/>
                          <w:szCs w:val="70"/>
                          <w:lang w:val="en-US" w:eastAsia="zh-CN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集装箱检验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70"/>
                          <w:szCs w:val="7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管理系统</w:t>
                      </w:r>
                    </w:p>
                    <w:p>
                      <w:pPr>
                        <w:jc w:val="center"/>
                        <w:rPr>
                          <w:rFonts w:ascii="微软雅黑" w:hAnsi="微软雅黑" w:eastAsia="微软雅黑" w:cs="微软雅黑"/>
                          <w:color w:val="2C9AAE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2C9AAE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深圳市泓泰技术有限公司</w:t>
                      </w:r>
                    </w:p>
                    <w:p>
                      <w:pPr>
                        <w:jc w:val="center"/>
                        <w:rPr>
                          <w:rFonts w:ascii="微软雅黑" w:hAnsi="微软雅黑" w:eastAsia="微软雅黑" w:cs="微软雅黑"/>
                          <w:color w:val="2C9AAE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hint="eastAsia" w:ascii="宋体" w:hAnsi="宋体"/>
                          <w:spacing w:val="60"/>
                        </w:rPr>
                        <w:t>2017-2018 版权所有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eastAsia="微软雅黑"/>
          <w:bCs w:val="0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-1160145</wp:posOffset>
            </wp:positionH>
            <wp:positionV relativeFrom="paragraph">
              <wp:posOffset>3815080</wp:posOffset>
            </wp:positionV>
            <wp:extent cx="7734935" cy="7115175"/>
            <wp:effectExtent l="0" t="0" r="18415" b="9525"/>
            <wp:wrapNone/>
            <wp:docPr id="3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7"/>
                    <pic:cNvPicPr>
                      <a:picLocks noChangeAspect="1"/>
                    </pic:cNvPicPr>
                  </pic:nvPicPr>
                  <pic:blipFill>
                    <a:blip r:embed="rId6"/>
                    <a:srcRect t="43108"/>
                    <a:stretch>
                      <a:fillRect/>
                    </a:stretch>
                  </pic:blipFill>
                  <pic:spPr>
                    <a:xfrm>
                      <a:off x="0" y="0"/>
                      <a:ext cx="7734935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微软雅黑" w:hAnsi="微软雅黑" w:eastAsia="微软雅黑"/>
          <w:bCs w:val="0"/>
          <w:color w:val="595959" w:themeColor="text1" w:themeTint="A6"/>
          <w:sz w:val="21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-1303020</wp:posOffset>
                </wp:positionH>
                <wp:positionV relativeFrom="paragraph">
                  <wp:posOffset>1090295</wp:posOffset>
                </wp:positionV>
                <wp:extent cx="7734300" cy="2743200"/>
                <wp:effectExtent l="0" t="0" r="0" b="0"/>
                <wp:wrapNone/>
                <wp:docPr id="2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92630" y="2830195"/>
                          <a:ext cx="7734300" cy="2743200"/>
                        </a:xfrm>
                        <a:prstGeom prst="rect">
                          <a:avLst/>
                        </a:prstGeom>
                        <a:solidFill>
                          <a:srgbClr val="DAE366"/>
                        </a:solidFill>
                        <a:ln w="9525">
                          <a:noFill/>
                        </a:ln>
                      </wps:spPr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ect id="矩形 4" o:spid="_x0000_s1026" o:spt="1" style="position:absolute;left:0pt;margin-left:-102.6pt;margin-top:85.85pt;height:216pt;width:609pt;z-index:251651072;mso-width-relative:page;mso-height-relative:page;" fillcolor="#DAE366" filled="t" stroked="f" coordsize="21600,21600" o:gfxdata="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L9LLy2wAAAA0BAAAPAAAAAAAAAAEAIAAAACIAAABkcnMvZG93bnJldi54bWxQ&#10;SwECFAAUAAAACACHTuJAukrVJ7sBAAA+AwAADgAAAAAAAAABACAAAAAqAQAAZHJzL2Uyb0RvYy54&#10;bWxQSwUGAAAAAAYABgBZAQAAVwUAAAAA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ascii="微软雅黑" w:hAnsi="微软雅黑" w:eastAsia="微软雅黑"/>
          <w:bCs w:val="0"/>
          <w:color w:val="595959" w:themeColor="text1" w:themeTint="A6"/>
          <w:sz w:val="21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-33020</wp:posOffset>
                </wp:positionH>
                <wp:positionV relativeFrom="paragraph">
                  <wp:posOffset>2818130</wp:posOffset>
                </wp:positionV>
                <wp:extent cx="5825490" cy="642620"/>
                <wp:effectExtent l="0" t="0" r="0" b="0"/>
                <wp:wrapNone/>
                <wp:docPr id="1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5490" cy="642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bCs/>
                                <w:color w:val="FFFFFF"/>
                                <w:sz w:val="72"/>
                              </w:rPr>
                            </w:pPr>
                            <w:r>
                              <w:rPr>
                                <w:rFonts w:hint="eastAsia"/>
                                <w:bCs/>
                                <w:color w:val="FFFFFF"/>
                                <w:sz w:val="72"/>
                              </w:rPr>
                              <w:t>员工手册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9" o:spid="_x0000_s1026" o:spt="202" type="#_x0000_t202" style="position:absolute;left:0pt;margin-left:-2.6pt;margin-top:221.9pt;height:50.6pt;width:458.7pt;z-index:251643904;mso-width-relative:page;mso-height-relative:page;" filled="f" stroked="f" coordsize="21600,21600" o:gfxdata="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Y9aOn2wAAAAoBAAAP&#10;AAAAAAAAAAEAIAAAACIAAABkcnMvZG93bnJldi54bWxQSwECFAAUAAAACACHTuJAtuN+uqMBAAAX&#10;AwAADgAAAAAAAAABACAAAAAqAQAAZHJzL2Uyb0RvYy54bWxQSwUGAAAAAAYABgBZAQAAP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bCs/>
                          <w:color w:val="FFFFFF"/>
                          <w:sz w:val="72"/>
                        </w:rPr>
                      </w:pPr>
                      <w:r>
                        <w:rPr>
                          <w:rFonts w:hint="eastAsia"/>
                          <w:bCs/>
                          <w:color w:val="FFFFFF"/>
                          <w:sz w:val="72"/>
                        </w:rPr>
                        <w:t>员工手册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/>
          <w:bCs w:val="0"/>
          <w:color w:val="595959" w:themeColor="text1" w:themeTint="A6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br w:type="page"/>
      </w:r>
      <w:bookmarkStart w:id="0" w:name="_GoBack"/>
      <w:bookmarkEnd w:id="0"/>
    </w:p>
    <w:sdt>
      <w:sdtPr>
        <w:rPr>
          <w:rFonts w:ascii="微软雅黑" w:hAnsi="微软雅黑" w:eastAsia="微软雅黑" w:cstheme="minorBidi"/>
          <w:b w:val="0"/>
          <w:bCs w:val="0"/>
          <w:color w:val="595959" w:themeColor="text1" w:themeTint="A6"/>
          <w:kern w:val="2"/>
          <w:sz w:val="21"/>
          <w:szCs w:val="22"/>
          <w:lang w:val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id w:val="29818158"/>
        <w:showingPlcHdr/>
      </w:sdtPr>
      <w:sdtEndPr>
        <w:rPr>
          <w:rFonts w:ascii="微软雅黑" w:hAnsi="微软雅黑" w:eastAsia="微软雅黑" w:cstheme="minorBidi"/>
          <w:b w:val="0"/>
          <w:bCs w:val="0"/>
          <w:color w:val="595959" w:themeColor="text1" w:themeTint="A6"/>
          <w:kern w:val="2"/>
          <w:sz w:val="21"/>
          <w:szCs w:val="22"/>
          <w:lang w:val="en-US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sdtEndPr>
      <w:sdtContent>
        <w:p>
          <w:pPr>
            <w:widowControl/>
            <w:spacing w:line="360" w:lineRule="exact"/>
            <w:jc w:val="left"/>
            <w:rPr>
              <w:rFonts w:ascii="微软雅黑" w:hAnsi="微软雅黑" w:eastAsia="微软雅黑" w:cstheme="minorBidi"/>
              <w:b/>
              <w:color w:val="595959" w:themeColor="text1" w:themeTint="A6"/>
              <w14:textFill>
                <w14:solidFill>
                  <w14:schemeClr w14:val="tx1">
                    <w14:lumMod w14:val="65000"/>
                    <w14:lumOff w14:val="35000"/>
                  </w14:schemeClr>
                </w14:solidFill>
              </w14:textFill>
            </w:rPr>
          </w:pPr>
        </w:p>
      </w:sdtContent>
    </w:sdt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登录</w:t>
      </w:r>
    </w:p>
    <w:p>
      <w:pPr>
        <w:pStyle w:val="9"/>
        <w:tabs>
          <w:tab w:val="left" w:pos="840"/>
          <w:tab w:val="right" w:leader="dot" w:pos="8296"/>
        </w:tabs>
        <w:ind w:left="0" w:leftChars="0"/>
        <w:jc w:val="left"/>
        <w:rPr>
          <w:rFonts w:ascii="微软雅黑" w:hAnsi="微软雅黑" w:eastAsia="微软雅黑" w:cs="微软雅黑"/>
          <w:b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b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1.1登录界面</w:t>
      </w:r>
    </w:p>
    <w:p>
      <w:pPr>
        <w:rPr>
          <w:rFonts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/>
        </w:rPr>
        <w:t xml:space="preserve">   </w:t>
      </w:r>
      <w:r>
        <w:rPr>
          <w:rFonts w:hint="eastAsia"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登录界面如图所示：</w:t>
      </w:r>
    </w:p>
    <w:p>
      <w:pPr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509260" cy="2778760"/>
            <wp:effectExtent l="0" t="0" r="7620" b="10160"/>
            <wp:docPr id="56" name="图片 56" descr="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77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exact"/>
        <w:rPr>
          <w:rFonts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 xml:space="preserve">   登录操作步骤：</w:t>
      </w:r>
    </w:p>
    <w:p>
      <w:pPr>
        <w:pStyle w:val="17"/>
        <w:numPr>
          <w:ilvl w:val="0"/>
          <w:numId w:val="2"/>
        </w:numPr>
        <w:spacing w:line="360" w:lineRule="exact"/>
        <w:ind w:firstLineChars="0"/>
        <w:rPr>
          <w:rFonts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在username中填写自己的用户名</w:t>
      </w:r>
    </w:p>
    <w:p>
      <w:pPr>
        <w:pStyle w:val="17"/>
        <w:numPr>
          <w:ilvl w:val="0"/>
          <w:numId w:val="2"/>
        </w:numPr>
        <w:spacing w:line="360" w:lineRule="exact"/>
        <w:ind w:firstLineChars="0"/>
        <w:rPr>
          <w:rFonts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在password中填写对应的密码</w:t>
      </w:r>
    </w:p>
    <w:p>
      <w:pPr>
        <w:pStyle w:val="17"/>
        <w:numPr>
          <w:ilvl w:val="0"/>
          <w:numId w:val="2"/>
        </w:numPr>
        <w:spacing w:line="360" w:lineRule="exact"/>
        <w:ind w:firstLineChars="0"/>
        <w:rPr>
          <w:rFonts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="微软雅黑"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点击login蓝色按钮</w:t>
      </w:r>
    </w:p>
    <w:p>
      <w:pPr>
        <w:spacing w:line="360" w:lineRule="exact"/>
        <w:ind w:left="315"/>
        <w:rPr>
          <w:rFonts w:ascii="微软雅黑" w:hAnsi="微软雅黑" w:eastAsia="微软雅黑" w:cs="微软雅黑"/>
          <w:color w:val="0070C0"/>
        </w:rPr>
      </w:pPr>
      <w:r>
        <w:rPr>
          <w:rFonts w:ascii="微软雅黑" w:hAnsi="微软雅黑" w:eastAsia="微软雅黑" w:cs="微软雅黑"/>
          <w:color w:val="0070C0"/>
        </w:rPr>
        <w:t>备注</w:t>
      </w:r>
      <w:r>
        <w:rPr>
          <w:rFonts w:hint="eastAsia" w:ascii="微软雅黑" w:hAnsi="微软雅黑" w:eastAsia="微软雅黑" w:cs="微软雅黑"/>
          <w:color w:val="0070C0"/>
        </w:rPr>
        <w:t>：</w:t>
      </w:r>
      <w:r>
        <w:rPr>
          <w:rFonts w:ascii="微软雅黑" w:hAnsi="微软雅黑" w:eastAsia="微软雅黑" w:cs="微软雅黑"/>
          <w:color w:val="0070C0"/>
        </w:rPr>
        <w:t>系统的用户一共有</w:t>
      </w:r>
      <w:r>
        <w:rPr>
          <w:rFonts w:hint="eastAsia" w:ascii="微软雅黑" w:hAnsi="微软雅黑" w:eastAsia="微软雅黑" w:cs="微软雅黑"/>
          <w:color w:val="0070C0"/>
        </w:rPr>
        <w:t>4种不同的等级和类型，包含admin账号、办公室账号、办事处账号、检验员账号。不同的账号类型登录系统，所显示的登录界面是不一样的</w:t>
      </w:r>
    </w:p>
    <w:p>
      <w:pPr>
        <w:rPr>
          <w:rFonts w:ascii="微软雅黑" w:hAnsi="微软雅黑" w:eastAsia="微软雅黑"/>
        </w:rPr>
      </w:pPr>
    </w:p>
    <w:p>
      <w:pPr>
        <w:pStyle w:val="9"/>
        <w:tabs>
          <w:tab w:val="left" w:pos="840"/>
          <w:tab w:val="right" w:leader="dot" w:pos="8296"/>
        </w:tabs>
        <w:ind w:left="0" w:leftChars="0"/>
        <w:jc w:val="left"/>
        <w:rPr>
          <w:rFonts w:hint="eastAsia" w:ascii="微软雅黑" w:hAnsi="微软雅黑" w:eastAsia="微软雅黑" w:cs="微软雅黑"/>
          <w:b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b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1.2</w:t>
      </w:r>
      <w:r>
        <w:rPr>
          <w:rFonts w:ascii="微软雅黑" w:hAnsi="微软雅黑" w:eastAsia="微软雅黑" w:cs="微软雅黑"/>
          <w:b/>
          <w:color w:val="595959" w:themeColor="text1" w:themeTint="A6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系统界面简介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1.2.1 首页界面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框架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左侧为主菜单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右侧欢迎栏为登录的信息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：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欢迎栏目中显示有用户名，所属部门和最后的登录时间。右下角的绿色log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 xml:space="preserve"> out按钮点击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后可以退出登录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右侧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消息栏：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显示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最近的消息通知，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对于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办公室账号而言，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显示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的是检验员账号更新了检验柜子的信息；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对于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检验员而言，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显示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的是自己所在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部门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的被下单的信息。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所有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消息点击，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都可以</w:t>
      </w:r>
      <w:r>
        <w:rPr>
          <w:rFonts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进入到相应的订单明细中。</w:t>
      </w:r>
    </w:p>
    <w:p>
      <w:pPr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509260" cy="2979420"/>
            <wp:effectExtent l="0" t="0" r="7620" b="7620"/>
            <wp:docPr id="64" name="图片 6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/>
        </w:rPr>
      </w:pPr>
    </w:p>
    <w:p>
      <w:pPr>
        <w:jc w:val="left"/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1.3 主菜单</w:t>
      </w:r>
    </w:p>
    <w:p>
      <w:pPr>
        <w:pStyle w:val="9"/>
        <w:tabs>
          <w:tab w:val="left" w:pos="840"/>
          <w:tab w:val="right" w:leader="dot" w:pos="8296"/>
        </w:tabs>
        <w:spacing w:line="360" w:lineRule="exact"/>
        <w:ind w:left="0" w:leftChars="0" w:firstLine="283" w:firstLineChars="135"/>
        <w:jc w:val="left"/>
        <w:rPr>
          <w:rFonts w:hint="eastAsia" w:ascii="微软雅黑" w:hAnsi="微软雅黑" w:eastAsia="微软雅黑" w:cs="微软雅黑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系统主要有6个业务板块：On Hire、Off Hire、In Service、Depot Audit、New Build Container、E-Product Inspection；和2个功能板块：财务管理、报表管理；和4个配置板块：往来单位、堆场设置、工厂设置、配置中心；和一个系统工具板块。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每个板块下又有子菜单对应具体的业务操作。参见后面说明。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2560320" cy="5464175"/>
            <wp:effectExtent l="0" t="0" r="0" b="6985"/>
            <wp:docPr id="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5464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br w:type="page"/>
      </w:r>
    </w:p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ON HIRE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2.1 OnHire操作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Onhire是起租业务板块。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OnHire操作界面。上半部分是下单信息，由办公室人员根据订单信息填写，下单后将给对应的办事处和检验员员下发邮件。下半部分是检验详情，是给检验员元填写，并上传图片和报告。</w:t>
      </w:r>
    </w:p>
    <w:p>
      <w:pPr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509260" cy="2979420"/>
            <wp:effectExtent l="0" t="0" r="7620" b="7620"/>
            <wp:docPr id="66" name="图片 66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0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509260" cy="2979420"/>
            <wp:effectExtent l="0" t="0" r="7620" b="7620"/>
            <wp:docPr id="69" name="图片 69" descr="05-onhir-procee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05-onhir-proceedi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2.2 Onhire查询</w:t>
      </w:r>
    </w:p>
    <w:p>
      <w:pPr>
        <w:ind w:left="285" w:leftChars="135" w:hanging="2"/>
        <w:jc w:val="left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t>根据不同的查询条件查询对应的订单和检验集装箱箱信息。</w:t>
      </w:r>
    </w:p>
    <w:p>
      <w:pPr>
        <w:ind w:left="285" w:leftChars="135" w:hanging="2"/>
        <w:jc w:val="left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509260" cy="2979420"/>
            <wp:effectExtent l="0" t="0" r="7620" b="7620"/>
            <wp:docPr id="68" name="图片 68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lang w:eastAsia="zh-CN"/>
        </w:rPr>
        <w:drawing>
          <wp:inline distT="0" distB="0" distL="114300" distR="114300">
            <wp:extent cx="5509260" cy="2979420"/>
            <wp:effectExtent l="0" t="0" r="7620" b="7620"/>
            <wp:docPr id="67" name="图片 67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widowControl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br w:type="page"/>
      </w:r>
    </w:p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OFF HIRE</w:t>
      </w: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和</w:t>
      </w: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IN Service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3.1新建任务单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Off Hire和In Service是退租业务板块，两个业务比较近似。操作界面如下：</w:t>
      </w:r>
    </w:p>
    <w:p>
      <w:pP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drawing>
          <wp:inline distT="0" distB="0" distL="114300" distR="114300">
            <wp:extent cx="5509260" cy="2979420"/>
            <wp:effectExtent l="0" t="0" r="7620" b="7620"/>
            <wp:docPr id="70" name="图片 70" descr="06-offhir-cre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06-offhir-creat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drawing>
          <wp:inline distT="0" distB="0" distL="114300" distR="114300">
            <wp:extent cx="5509260" cy="2979420"/>
            <wp:effectExtent l="0" t="0" r="7620" b="7620"/>
            <wp:docPr id="71" name="图片 71" descr="06-offhir-procee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06-offhir-proceedi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</w:p>
    <w:p>
      <w:pP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OffHire查询功能</w:t>
      </w:r>
    </w:p>
    <w:p>
      <w:pP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="微软雅黑"/>
          <w:b/>
          <w:color w:val="595959" w:themeColor="text1" w:themeTint="A6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drawing>
          <wp:inline distT="0" distB="0" distL="114300" distR="114300">
            <wp:extent cx="5509260" cy="2979420"/>
            <wp:effectExtent l="0" t="0" r="7620" b="7620"/>
            <wp:docPr id="72" name="图片 72" descr="06-offhir-summ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06-offhir-summary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numId w:val="0"/>
        </w:numPr>
        <w:ind w:left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</w:p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DEPOT AUDIT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Depot Audit板块是堆场审计业务，操作界面如下：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drawing>
          <wp:inline distT="0" distB="0" distL="114300" distR="114300">
            <wp:extent cx="5509260" cy="2979420"/>
            <wp:effectExtent l="0" t="0" r="7620" b="7620"/>
            <wp:docPr id="73" name="图片 73" descr="07-depot-cre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07-depot-creati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drawing>
          <wp:inline distT="0" distB="0" distL="114300" distR="114300">
            <wp:extent cx="5509260" cy="2979420"/>
            <wp:effectExtent l="0" t="0" r="7620" b="7620"/>
            <wp:docPr id="76" name="图片 76" descr="07-depot-d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07-depot-done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lang w:val="en-US" w:eastAsia="zh-CN"/>
        </w:rPr>
        <w:drawing>
          <wp:inline distT="0" distB="0" distL="114300" distR="114300">
            <wp:extent cx="5509260" cy="2979420"/>
            <wp:effectExtent l="0" t="0" r="7620" b="7620"/>
            <wp:docPr id="75" name="图片 75" descr="07-depot-don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07-depot-done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lang w:val="en-US" w:eastAsia="zh-CN"/>
        </w:rPr>
        <w:drawing>
          <wp:inline distT="0" distB="0" distL="114300" distR="114300">
            <wp:extent cx="5509260" cy="2979420"/>
            <wp:effectExtent l="0" t="0" r="7620" b="7620"/>
            <wp:docPr id="74" name="图片 74" descr="07-depot-don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07-depot-done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/>
          <w:lang w:val="en-US" w:eastAsia="zh-CN"/>
        </w:rPr>
      </w:pPr>
    </w:p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新箱检验</w:t>
      </w: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和</w:t>
      </w: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电子产品检验</w:t>
      </w:r>
    </w:p>
    <w:p>
      <w:pPr>
        <w:rPr>
          <w:rFonts w:hint="eastAsia" w:ascii="微软雅黑" w:hAnsi="微软雅黑" w:eastAsia="微软雅黑"/>
          <w:lang w:val="en-US" w:eastAsia="zh-CN"/>
        </w:rPr>
      </w:pPr>
      <w:r>
        <w:rPr>
          <w:rFonts w:hint="eastAsia" w:ascii="微软雅黑" w:hAnsi="微软雅黑" w:eastAsia="微软雅黑"/>
          <w:lang w:val="en-US" w:eastAsia="zh-CN"/>
        </w:rPr>
        <w:t>新箱和电子产品板块比较近似，用于对新生产的集装箱或电子产品的品种进行检查。操作界面如下：</w:t>
      </w:r>
    </w:p>
    <w:p>
      <w:pPr>
        <w:pStyle w:val="17"/>
        <w:numPr>
          <w:numId w:val="0"/>
        </w:numPr>
        <w:ind w:leftChars="0"/>
        <w:jc w:val="left"/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drawing>
          <wp:inline distT="0" distB="0" distL="114300" distR="114300">
            <wp:extent cx="5509260" cy="2979420"/>
            <wp:effectExtent l="0" t="0" r="7620" b="7620"/>
            <wp:docPr id="78" name="图片 78" descr="08-newc-procee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 descr="08-newc-proceedi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drawing>
          <wp:inline distT="0" distB="0" distL="114300" distR="114300">
            <wp:extent cx="5509260" cy="2979420"/>
            <wp:effectExtent l="0" t="0" r="7620" b="7620"/>
            <wp:docPr id="77" name="图片 77" descr="08-newc-proceedin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08-newc-proceeding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财务管理</w:t>
      </w:r>
    </w:p>
    <w:p>
      <w:pPr>
        <w:pStyle w:val="17"/>
        <w:numPr>
          <w:numId w:val="0"/>
        </w:numPr>
        <w:ind w:leftChars="0"/>
        <w:jc w:val="left"/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  <w:t>财务管理主要用于对客户开具发票和管理。根据不同的客户要求开具不同发票样式。操作界面如下：</w:t>
      </w:r>
    </w:p>
    <w:p>
      <w:pPr>
        <w:pStyle w:val="17"/>
        <w:numPr>
          <w:numId w:val="0"/>
        </w:numPr>
        <w:ind w:leftChars="0"/>
        <w:jc w:val="left"/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5509260" cy="2979420"/>
            <wp:effectExtent l="0" t="0" r="7620" b="7620"/>
            <wp:docPr id="79" name="图片 79" descr="09-fina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 descr="09-finance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报表管理</w:t>
      </w:r>
    </w:p>
    <w:p>
      <w:pPr>
        <w:pStyle w:val="17"/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  <w:t>报表管理用于导出各种不同的报表，用于企业的统计分析和做账。因涉及客户信息不便截图。</w:t>
      </w:r>
    </w:p>
    <w:p>
      <w:pPr>
        <w:pStyle w:val="17"/>
        <w:numPr>
          <w:ilvl w:val="0"/>
          <w:numId w:val="1"/>
        </w:numPr>
        <w:ind w:firstLineChars="0"/>
        <w:jc w:val="left"/>
        <w:rPr>
          <w:rFonts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  <w:r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  <w:t>其他</w:t>
      </w:r>
    </w:p>
    <w:p>
      <w:pPr>
        <w:pStyle w:val="17"/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  <w:t>三个设置板块中涉用于对系统中使用的客户信息、用户信息、工厂信息进行预录入和管理。因涉及客户信息不便截图。</w:t>
      </w:r>
    </w:p>
    <w:p>
      <w:pPr>
        <w:pStyle w:val="17"/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2"/>
          <w:lang w:val="en-US" w:eastAsia="zh-CN" w:bidi="ar-SA"/>
        </w:rPr>
        <w:t>工具板块用于定制客户对系统的特殊需求：如数据备份等功能。</w:t>
      </w:r>
    </w:p>
    <w:p>
      <w:pPr>
        <w:pStyle w:val="17"/>
        <w:numPr>
          <w:numId w:val="0"/>
        </w:numPr>
        <w:ind w:leftChars="0"/>
        <w:jc w:val="left"/>
        <w:rPr>
          <w:rFonts w:hint="eastAsia" w:ascii="微软雅黑" w:hAnsi="微软雅黑" w:eastAsia="微软雅黑" w:cstheme="minorBidi"/>
          <w:b/>
          <w:color w:val="595959" w:themeColor="text1" w:themeTint="A6"/>
          <w:w w:val="90"/>
          <w:sz w:val="48"/>
          <w:szCs w:val="48"/>
          <w:lang w:val="en-US" w:eastAsia="zh-CN"/>
          <w14:textFill>
            <w14:solidFill>
              <w14:schemeClr w14:val="tx1">
                <w14:lumMod w14:val="65000"/>
                <w14:lumOff w14:val="35000"/>
              </w14:schemeClr>
            </w14:solidFill>
          </w14:textFill>
        </w:rPr>
      </w:pPr>
    </w:p>
    <w:sectPr>
      <w:footerReference r:id="rId3" w:type="default"/>
      <w:pgSz w:w="11906" w:h="16838"/>
      <w:pgMar w:top="1440" w:right="1418" w:bottom="1440" w:left="179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8"/>
    <w:family w:val="auto"/>
    <w:pitch w:val="default"/>
    <w:sig w:usb0="80000287" w:usb1="28CF3C52" w:usb2="00000016" w:usb3="00000000" w:csb0="0004001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hd w:val="clear" w:color="auto" w:fill="9BBB59" w:themeFill="accent3"/>
      <w:jc w:val="center"/>
      <w:rPr>
        <w:rFonts w:ascii="微软雅黑" w:hAnsi="微软雅黑" w:eastAsia="微软雅黑" w:cs="微软雅黑"/>
        <w:color w:val="9BBB59" w:themeColor="accent3"/>
        <w:sz w:val="6"/>
        <w:szCs w:val="6"/>
        <w14:textFill>
          <w14:solidFill>
            <w14:schemeClr w14:val="accent3"/>
          </w14:solidFill>
        </w14:textFill>
      </w:rPr>
    </w:pPr>
    <w:r>
      <w:rPr>
        <w:rFonts w:hint="eastAsia" w:ascii="微软雅黑" w:hAnsi="微软雅黑" w:eastAsia="微软雅黑" w:cs="微软雅黑"/>
        <w:color w:val="9BBB59" w:themeColor="accent3"/>
        <w:sz w:val="6"/>
        <w:szCs w:val="6"/>
        <w14:textFill>
          <w14:solidFill>
            <w14:schemeClr w14:val="accent3"/>
          </w14:solidFill>
        </w14:textFill>
      </w:rPr>
      <w:t>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—</w:t>
    </w:r>
  </w:p>
  <w:p>
    <w:pPr>
      <w:pStyle w:val="6"/>
      <w:jc w:val="center"/>
      <w:rPr>
        <w:rFonts w:ascii="微软雅黑" w:hAnsi="微软雅黑" w:eastAsia="微软雅黑" w:cs="微软雅黑"/>
        <w:color w:val="9BBB59" w:themeColor="accent3"/>
        <w14:textFill>
          <w14:solidFill>
            <w14:schemeClr w14:val="accent3"/>
          </w14:solidFill>
        </w14:textFill>
      </w:rPr>
    </w:pPr>
    <w:r>
      <w:rPr>
        <w:rFonts w:hint="eastAsia" w:ascii="微软雅黑" w:hAnsi="微软雅黑" w:eastAsia="微软雅黑" w:cs="微软雅黑"/>
        <w:color w:val="9BBB59" w:themeColor="accent3"/>
        <w14:textFill>
          <w14:solidFill>
            <w14:schemeClr w14:val="accent3"/>
          </w14:solidFill>
        </w14:textFill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64770" cy="14605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770" cy="146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jc w:val="center"/>
                          </w:pPr>
                          <w:r>
                            <w:rPr>
                              <w:color w:val="9BBB59" w:themeColor="accent3"/>
                              <w14:textFill>
                                <w14:solidFill>
                                  <w14:schemeClr w14:val="accent3"/>
                                </w14:solidFill>
                              </w14:textFill>
                            </w:rPr>
                            <w:fldChar w:fldCharType="begin"/>
                          </w:r>
                          <w:r>
                            <w:rPr>
                              <w:color w:val="9BBB59" w:themeColor="accent3"/>
                              <w14:textFill>
                                <w14:solidFill>
                                  <w14:schemeClr w14:val="accent3"/>
                                </w14:solidFill>
                              </w14:textFill>
                            </w:rPr>
                            <w:instrText xml:space="preserve"> PAGE   \* MERGEFORMAT </w:instrText>
                          </w:r>
                          <w:r>
                            <w:rPr>
                              <w:color w:val="9BBB59" w:themeColor="accent3"/>
                              <w14:textFill>
                                <w14:solidFill>
                                  <w14:schemeClr w14:val="accent3"/>
                                </w14:solidFill>
                              </w14:textFill>
                            </w:rPr>
                            <w:fldChar w:fldCharType="separate"/>
                          </w:r>
                          <w:r>
                            <w:rPr>
                              <w:color w:val="9BBB59" w:themeColor="accent3"/>
                              <w:lang w:val="zh-CN"/>
                              <w14:textFill>
                                <w14:solidFill>
                                  <w14:schemeClr w14:val="accent3"/>
                                </w14:solidFill>
                              </w14:textFill>
                            </w:rPr>
                            <w:t>1</w:t>
                          </w:r>
                          <w:r>
                            <w:rPr>
                              <w:color w:val="9BBB59" w:themeColor="accent3"/>
                              <w:lang w:val="zh-CN"/>
                              <w14:textFill>
                                <w14:solidFill>
                                  <w14:schemeClr w14:val="accent3"/>
                                </w14:solidFill>
                              </w14:textFill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.5pt;width:5.1pt;mso-position-horizontal:right;mso-position-horizontal-relative:margin;mso-wrap-style:none;z-index:251658240;mso-width-relative:page;mso-height-relative:page;" filled="f" stroked="f" coordsize="21600,21600" o:gfxdata="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D9/NLtEAAAADAQAADwAAAAAAAAABACAAAAAi&#10;AAAAZHJzL2Rvd25yZXYueG1sUEsBAhQAFAAAAAgAh07iQMZo/h0RAgAABAQAAA4AAAAAAAAAAQAg&#10;AAAAIA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jc w:val="center"/>
                    </w:pPr>
                    <w:r>
                      <w:rPr>
                        <w:color w:val="9BBB59" w:themeColor="accent3"/>
                        <w14:textFill>
                          <w14:solidFill>
                            <w14:schemeClr w14:val="accent3"/>
                          </w14:solidFill>
                        </w14:textFill>
                      </w:rPr>
                      <w:fldChar w:fldCharType="begin"/>
                    </w:r>
                    <w:r>
                      <w:rPr>
                        <w:color w:val="9BBB59" w:themeColor="accent3"/>
                        <w14:textFill>
                          <w14:solidFill>
                            <w14:schemeClr w14:val="accent3"/>
                          </w14:solidFill>
                        </w14:textFill>
                      </w:rPr>
                      <w:instrText xml:space="preserve"> PAGE   \* MERGEFORMAT </w:instrText>
                    </w:r>
                    <w:r>
                      <w:rPr>
                        <w:color w:val="9BBB59" w:themeColor="accent3"/>
                        <w14:textFill>
                          <w14:solidFill>
                            <w14:schemeClr w14:val="accent3"/>
                          </w14:solidFill>
                        </w14:textFill>
                      </w:rPr>
                      <w:fldChar w:fldCharType="separate"/>
                    </w:r>
                    <w:r>
                      <w:rPr>
                        <w:color w:val="9BBB59" w:themeColor="accent3"/>
                        <w:lang w:val="zh-CN"/>
                        <w14:textFill>
                          <w14:solidFill>
                            <w14:schemeClr w14:val="accent3"/>
                          </w14:solidFill>
                        </w14:textFill>
                      </w:rPr>
                      <w:t>1</w:t>
                    </w:r>
                    <w:r>
                      <w:rPr>
                        <w:color w:val="9BBB59" w:themeColor="accent3"/>
                        <w:lang w:val="zh-CN"/>
                        <w14:textFill>
                          <w14:solidFill>
                            <w14:schemeClr w14:val="accent3"/>
                          </w14:solidFill>
                        </w14:textFill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微软雅黑" w:hAnsi="微软雅黑" w:eastAsia="微软雅黑" w:cs="微软雅黑"/>
        <w:color w:val="9BBB59" w:themeColor="accent3"/>
        <w14:textFill>
          <w14:solidFill>
            <w14:schemeClr w14:val="accent3"/>
          </w14:solidFill>
        </w14:textFill>
      </w:rPr>
      <w:t>HTT深圳市泓泰技术有限公司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520803"/>
    <w:multiLevelType w:val="multilevel"/>
    <w:tmpl w:val="46520803"/>
    <w:lvl w:ilvl="0" w:tentative="0">
      <w:start w:val="1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155" w:hanging="420"/>
      </w:pPr>
    </w:lvl>
    <w:lvl w:ilvl="2" w:tentative="0">
      <w:start w:val="1"/>
      <w:numFmt w:val="lowerRoman"/>
      <w:lvlText w:val="%3."/>
      <w:lvlJc w:val="right"/>
      <w:pPr>
        <w:ind w:left="1575" w:hanging="420"/>
      </w:pPr>
    </w:lvl>
    <w:lvl w:ilvl="3" w:tentative="0">
      <w:start w:val="1"/>
      <w:numFmt w:val="decimal"/>
      <w:lvlText w:val="%4."/>
      <w:lvlJc w:val="left"/>
      <w:pPr>
        <w:ind w:left="1995" w:hanging="420"/>
      </w:pPr>
    </w:lvl>
    <w:lvl w:ilvl="4" w:tentative="0">
      <w:start w:val="1"/>
      <w:numFmt w:val="lowerLetter"/>
      <w:lvlText w:val="%5)"/>
      <w:lvlJc w:val="left"/>
      <w:pPr>
        <w:ind w:left="2415" w:hanging="420"/>
      </w:pPr>
    </w:lvl>
    <w:lvl w:ilvl="5" w:tentative="0">
      <w:start w:val="1"/>
      <w:numFmt w:val="lowerRoman"/>
      <w:lvlText w:val="%6."/>
      <w:lvlJc w:val="right"/>
      <w:pPr>
        <w:ind w:left="2835" w:hanging="420"/>
      </w:pPr>
    </w:lvl>
    <w:lvl w:ilvl="6" w:tentative="0">
      <w:start w:val="1"/>
      <w:numFmt w:val="decimal"/>
      <w:lvlText w:val="%7."/>
      <w:lvlJc w:val="left"/>
      <w:pPr>
        <w:ind w:left="3255" w:hanging="420"/>
      </w:pPr>
    </w:lvl>
    <w:lvl w:ilvl="7" w:tentative="0">
      <w:start w:val="1"/>
      <w:numFmt w:val="lowerLetter"/>
      <w:lvlText w:val="%8)"/>
      <w:lvlJc w:val="left"/>
      <w:pPr>
        <w:ind w:left="3675" w:hanging="420"/>
      </w:pPr>
    </w:lvl>
    <w:lvl w:ilvl="8" w:tentative="0">
      <w:start w:val="1"/>
      <w:numFmt w:val="lowerRoman"/>
      <w:lvlText w:val="%9."/>
      <w:lvlJc w:val="right"/>
      <w:pPr>
        <w:ind w:left="4095" w:hanging="420"/>
      </w:pPr>
    </w:lvl>
  </w:abstractNum>
  <w:abstractNum w:abstractNumId="1">
    <w:nsid w:val="7F261C6B"/>
    <w:multiLevelType w:val="multilevel"/>
    <w:tmpl w:val="7F261C6B"/>
    <w:lvl w:ilvl="0" w:tentative="0">
      <w:start w:val="1"/>
      <w:numFmt w:val="decimal"/>
      <w:lvlText w:val="%1.0"/>
      <w:lvlJc w:val="left"/>
      <w:pPr>
        <w:ind w:left="375" w:hanging="375"/>
      </w:pPr>
      <w:rPr>
        <w:rFonts w:hint="default"/>
      </w:rPr>
    </w:lvl>
    <w:lvl w:ilvl="1" w:tentative="0">
      <w:start w:val="1"/>
      <w:numFmt w:val="decimal"/>
      <w:lvlText w:val="%1.%2"/>
      <w:lvlJc w:val="left"/>
      <w:pPr>
        <w:ind w:left="795" w:hanging="375"/>
      </w:pPr>
      <w:rPr>
        <w:rFonts w:hint="default"/>
      </w:rPr>
    </w:lvl>
    <w:lvl w:ilvl="2" w:tentative="0">
      <w:start w:val="1"/>
      <w:numFmt w:val="decimal"/>
      <w:lvlText w:val="%1.%2.%3"/>
      <w:lvlJc w:val="left"/>
      <w:pPr>
        <w:ind w:left="156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1980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276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318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3600" w:hanging="108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4380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4800" w:hanging="144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3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F41FBB"/>
    <w:rsid w:val="00001619"/>
    <w:rsid w:val="00020ED4"/>
    <w:rsid w:val="00055E86"/>
    <w:rsid w:val="00057F2F"/>
    <w:rsid w:val="00075C1E"/>
    <w:rsid w:val="00085CE2"/>
    <w:rsid w:val="0009724F"/>
    <w:rsid w:val="000A12A8"/>
    <w:rsid w:val="000C7B60"/>
    <w:rsid w:val="00102123"/>
    <w:rsid w:val="0018683F"/>
    <w:rsid w:val="00187A8D"/>
    <w:rsid w:val="001A0267"/>
    <w:rsid w:val="001B00EA"/>
    <w:rsid w:val="001B052A"/>
    <w:rsid w:val="001B2B8E"/>
    <w:rsid w:val="001C35CB"/>
    <w:rsid w:val="001C35FB"/>
    <w:rsid w:val="001C4BB2"/>
    <w:rsid w:val="001F7819"/>
    <w:rsid w:val="002552BE"/>
    <w:rsid w:val="002613FD"/>
    <w:rsid w:val="00281B08"/>
    <w:rsid w:val="00285D1F"/>
    <w:rsid w:val="00292C56"/>
    <w:rsid w:val="002B1A5B"/>
    <w:rsid w:val="002B5EDB"/>
    <w:rsid w:val="002D3689"/>
    <w:rsid w:val="002F49B5"/>
    <w:rsid w:val="003031D6"/>
    <w:rsid w:val="00304934"/>
    <w:rsid w:val="003054D6"/>
    <w:rsid w:val="00326C1F"/>
    <w:rsid w:val="003403F5"/>
    <w:rsid w:val="00344438"/>
    <w:rsid w:val="00361753"/>
    <w:rsid w:val="00400AE5"/>
    <w:rsid w:val="00414682"/>
    <w:rsid w:val="00415C83"/>
    <w:rsid w:val="0041708A"/>
    <w:rsid w:val="00437CE5"/>
    <w:rsid w:val="004C511E"/>
    <w:rsid w:val="004E4606"/>
    <w:rsid w:val="004F1BC0"/>
    <w:rsid w:val="005029E5"/>
    <w:rsid w:val="0050797F"/>
    <w:rsid w:val="00515EED"/>
    <w:rsid w:val="00582AA9"/>
    <w:rsid w:val="005C0DE9"/>
    <w:rsid w:val="005E20F8"/>
    <w:rsid w:val="0065626E"/>
    <w:rsid w:val="00673257"/>
    <w:rsid w:val="00676C8C"/>
    <w:rsid w:val="0068189C"/>
    <w:rsid w:val="006C2EEA"/>
    <w:rsid w:val="006E3E67"/>
    <w:rsid w:val="006F66C2"/>
    <w:rsid w:val="0074061C"/>
    <w:rsid w:val="00747FF1"/>
    <w:rsid w:val="007874A4"/>
    <w:rsid w:val="007966DB"/>
    <w:rsid w:val="007B11F3"/>
    <w:rsid w:val="007D7B9E"/>
    <w:rsid w:val="007E3D2F"/>
    <w:rsid w:val="00802B21"/>
    <w:rsid w:val="00803F85"/>
    <w:rsid w:val="0082097A"/>
    <w:rsid w:val="008321AC"/>
    <w:rsid w:val="008721F3"/>
    <w:rsid w:val="0088470D"/>
    <w:rsid w:val="008C0E73"/>
    <w:rsid w:val="008D5317"/>
    <w:rsid w:val="00902241"/>
    <w:rsid w:val="00913398"/>
    <w:rsid w:val="009222CD"/>
    <w:rsid w:val="00933520"/>
    <w:rsid w:val="00945D14"/>
    <w:rsid w:val="00962515"/>
    <w:rsid w:val="009661A2"/>
    <w:rsid w:val="009D0475"/>
    <w:rsid w:val="009E6297"/>
    <w:rsid w:val="00A2227C"/>
    <w:rsid w:val="00A351BA"/>
    <w:rsid w:val="00A6337D"/>
    <w:rsid w:val="00A9550D"/>
    <w:rsid w:val="00A9735D"/>
    <w:rsid w:val="00AA0A3B"/>
    <w:rsid w:val="00AA6BB3"/>
    <w:rsid w:val="00AC472E"/>
    <w:rsid w:val="00AE2F25"/>
    <w:rsid w:val="00B07BED"/>
    <w:rsid w:val="00B22902"/>
    <w:rsid w:val="00B2468C"/>
    <w:rsid w:val="00BB45FB"/>
    <w:rsid w:val="00BB6BBA"/>
    <w:rsid w:val="00BE13C9"/>
    <w:rsid w:val="00C1010D"/>
    <w:rsid w:val="00C1133C"/>
    <w:rsid w:val="00C12262"/>
    <w:rsid w:val="00CA7CF2"/>
    <w:rsid w:val="00CD1E16"/>
    <w:rsid w:val="00CE04BB"/>
    <w:rsid w:val="00CF7E1C"/>
    <w:rsid w:val="00D344A2"/>
    <w:rsid w:val="00D46758"/>
    <w:rsid w:val="00D519BF"/>
    <w:rsid w:val="00DF3813"/>
    <w:rsid w:val="00E33EC5"/>
    <w:rsid w:val="00E7407A"/>
    <w:rsid w:val="00E76625"/>
    <w:rsid w:val="00EA01E7"/>
    <w:rsid w:val="00EC6B67"/>
    <w:rsid w:val="00EF4AA7"/>
    <w:rsid w:val="00F208DD"/>
    <w:rsid w:val="00F42301"/>
    <w:rsid w:val="00F451A0"/>
    <w:rsid w:val="01E2180B"/>
    <w:rsid w:val="06795139"/>
    <w:rsid w:val="09445077"/>
    <w:rsid w:val="0BC46FAB"/>
    <w:rsid w:val="1DD048E6"/>
    <w:rsid w:val="1F9F0F12"/>
    <w:rsid w:val="20413AF0"/>
    <w:rsid w:val="24C67CF4"/>
    <w:rsid w:val="2635706C"/>
    <w:rsid w:val="27882B8E"/>
    <w:rsid w:val="2943038B"/>
    <w:rsid w:val="344D5E2A"/>
    <w:rsid w:val="372E118F"/>
    <w:rsid w:val="3B57357F"/>
    <w:rsid w:val="3CA43D88"/>
    <w:rsid w:val="3CBF4725"/>
    <w:rsid w:val="3DE02134"/>
    <w:rsid w:val="41BF2319"/>
    <w:rsid w:val="45974BAC"/>
    <w:rsid w:val="4BB22382"/>
    <w:rsid w:val="4F2D17C2"/>
    <w:rsid w:val="518706B1"/>
    <w:rsid w:val="53F41FBB"/>
    <w:rsid w:val="548C168E"/>
    <w:rsid w:val="5C634D5B"/>
    <w:rsid w:val="5F523AE5"/>
    <w:rsid w:val="658F4BF0"/>
    <w:rsid w:val="6866083F"/>
    <w:rsid w:val="6AEF4B4C"/>
    <w:rsid w:val="6FCB0CA0"/>
    <w:rsid w:val="706859BC"/>
    <w:rsid w:val="764C0E46"/>
    <w:rsid w:val="77F726F3"/>
    <w:rsid w:val="7A113690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0">
    <w:name w:val="Default Paragraph Font"/>
    <w:unhideWhenUsed/>
    <w:uiPriority w:val="1"/>
  </w:style>
  <w:style w:type="table" w:default="1" w:styleId="1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uiPriority w:val="0"/>
    <w:pPr>
      <w:jc w:val="left"/>
    </w:pPr>
  </w:style>
  <w:style w:type="paragraph" w:styleId="4">
    <w:name w:val="toc 3"/>
    <w:basedOn w:val="1"/>
    <w:next w:val="1"/>
    <w:uiPriority w:val="0"/>
    <w:pPr>
      <w:ind w:left="840" w:leftChars="400"/>
    </w:pPr>
  </w:style>
  <w:style w:type="paragraph" w:styleId="5">
    <w:name w:val="Date"/>
    <w:basedOn w:val="1"/>
    <w:next w:val="1"/>
    <w:link w:val="18"/>
    <w:uiPriority w:val="0"/>
    <w:pPr>
      <w:ind w:left="100" w:leftChars="2500"/>
    </w:p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uiPriority w:val="0"/>
    <w:pPr>
      <w:ind w:left="420" w:leftChars="200"/>
    </w:pPr>
  </w:style>
  <w:style w:type="character" w:styleId="11">
    <w:name w:val="FollowedHyperlink"/>
    <w:basedOn w:val="10"/>
    <w:uiPriority w:val="0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2">
    <w:name w:val="Hyperlink"/>
    <w:basedOn w:val="10"/>
    <w:uiPriority w:val="0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字符"/>
    <w:basedOn w:val="10"/>
    <w:link w:val="7"/>
    <w:semiHidden/>
    <w:qFormat/>
    <w:uiPriority w:val="99"/>
    <w:rPr>
      <w:sz w:val="18"/>
      <w:szCs w:val="18"/>
    </w:rPr>
  </w:style>
  <w:style w:type="character" w:customStyle="1" w:styleId="15">
    <w:name w:val="页脚字符"/>
    <w:basedOn w:val="10"/>
    <w:link w:val="6"/>
    <w:qFormat/>
    <w:uiPriority w:val="99"/>
    <w:rPr>
      <w:sz w:val="18"/>
      <w:szCs w:val="18"/>
    </w:rPr>
  </w:style>
  <w:style w:type="paragraph" w:customStyle="1" w:styleId="16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paragraph" w:customStyle="1" w:styleId="17">
    <w:name w:val="List Paragraph"/>
    <w:basedOn w:val="1"/>
    <w:uiPriority w:val="99"/>
    <w:pPr>
      <w:ind w:firstLine="420" w:firstLineChars="200"/>
    </w:pPr>
  </w:style>
  <w:style w:type="character" w:customStyle="1" w:styleId="18">
    <w:name w:val="日期字符"/>
    <w:basedOn w:val="10"/>
    <w:link w:val="5"/>
    <w:uiPriority w:val="0"/>
    <w:rPr>
      <w:kern w:val="2"/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customXml" Target="../customXml/item2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im2016\AppData\Roaming\kingsoft\office6\templates\download\&#40664;&#35748;\&#21592;&#24037;&#25163;&#20876;.doc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45FF216-0756-314C-9934-DFD9D72F4B6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C:\Users\tim2016\AppData\Roaming\kingsoft\office6\templates\download\默认\员工手册.doc</Template>
  <Pages>30</Pages>
  <Words>843</Words>
  <Characters>4806</Characters>
  <Lines>40</Lines>
  <Paragraphs>11</Paragraphs>
  <TotalTime>0</TotalTime>
  <ScaleCrop>false</ScaleCrop>
  <LinksUpToDate>false</LinksUpToDate>
  <CharactersWithSpaces>5638</CharactersWithSpaces>
  <Application>WPS Office_10.1.0.6260_F1E327BC-269C-435d-A152-05C5408002CA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2017-03-19T15:41:00Z</dcterms:created>
  <dc:creator>tim2016</dc:creator>
  <cp:lastModifiedBy>William</cp:lastModifiedBy>
  <dcterms:modified xsi:type="dcterms:W3CDTF">2017-04-02T10:54:29Z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  <property fmtid="{D5CDD505-2E9C-101B-9397-08002B2CF9AE}" pid="3" name="name">
    <vt:lpwstr>员工手册.doc</vt:lpwstr>
  </property>
  <property fmtid="{D5CDD505-2E9C-101B-9397-08002B2CF9AE}" pid="4" name="fileid">
    <vt:lpwstr>867710</vt:lpwstr>
  </property>
</Properties>
</file>